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4A" w:rsidRDefault="005B57A8">
      <w:pPr>
        <w:pStyle w:val="aa"/>
        <w:jc w:val="center"/>
      </w:pPr>
      <w:bookmarkStart w:id="0" w:name="_GoBack"/>
      <w:bookmarkEnd w:id="0"/>
      <w:r>
        <w:t>Картограмма коррупционных рисков</w:t>
      </w:r>
    </w:p>
    <w:p w:rsidR="00BB644A" w:rsidRDefault="005B57A8">
      <w:pPr>
        <w:jc w:val="center"/>
      </w:pPr>
      <w:r>
        <w:t>РГКП «Государственный ансамбль танца Республики Казахстан «Салтанат»»</w:t>
      </w:r>
    </w:p>
    <w:p w:rsidR="00BB644A" w:rsidRDefault="005B57A8">
      <w:pPr>
        <w:jc w:val="center"/>
      </w:pPr>
      <w:r>
        <w:t>за 1 полугодие 2025 года</w:t>
      </w:r>
    </w:p>
    <w:p w:rsidR="00BB644A" w:rsidRDefault="005B57A8">
      <w:pPr>
        <w:pStyle w:val="1"/>
      </w:pPr>
      <w:r>
        <w:t>Нормативная основа</w:t>
      </w:r>
    </w:p>
    <w:p w:rsidR="00BB644A" w:rsidRDefault="005B57A8">
      <w:r>
        <w:t xml:space="preserve">Картограмма разработана в соответствии с Типовыми правилами проведения внутреннего анализа коррупционных </w:t>
      </w:r>
      <w:r>
        <w:t>рисков, утверждёнными приказом Агентства Республики Казахстан по противодействию коррупции, и на основании отчёта о результатах внутреннего анализа коррупционных рисков РГКП «Салтанат» за 1 полугодие 2025 года.</w:t>
      </w:r>
    </w:p>
    <w:p w:rsidR="00BB644A" w:rsidRDefault="005B57A8">
      <w:pPr>
        <w:pStyle w:val="1"/>
      </w:pPr>
      <w:r>
        <w:t>Регистр коррупционных рисков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176"/>
        <w:gridCol w:w="1703"/>
        <w:gridCol w:w="1660"/>
        <w:gridCol w:w="1657"/>
        <w:gridCol w:w="1660"/>
      </w:tblGrid>
      <w:tr w:rsidR="00BB644A">
        <w:tc>
          <w:tcPr>
            <w:tcW w:w="1728" w:type="dxa"/>
          </w:tcPr>
          <w:p w:rsidR="00BB644A" w:rsidRDefault="005B57A8">
            <w:r>
              <w:t>Бизнес-процесс</w:t>
            </w:r>
          </w:p>
        </w:tc>
        <w:tc>
          <w:tcPr>
            <w:tcW w:w="1728" w:type="dxa"/>
          </w:tcPr>
          <w:p w:rsidR="00BB644A" w:rsidRDefault="005B57A8">
            <w:r>
              <w:t>В</w:t>
            </w:r>
            <w:r>
              <w:t>ероятность</w:t>
            </w:r>
          </w:p>
        </w:tc>
        <w:tc>
          <w:tcPr>
            <w:tcW w:w="1728" w:type="dxa"/>
          </w:tcPr>
          <w:p w:rsidR="00BB644A" w:rsidRDefault="005B57A8">
            <w:r>
              <w:t>Влияние</w:t>
            </w:r>
          </w:p>
        </w:tc>
        <w:tc>
          <w:tcPr>
            <w:tcW w:w="1728" w:type="dxa"/>
          </w:tcPr>
          <w:p w:rsidR="00BB644A" w:rsidRDefault="005B57A8">
            <w:r>
              <w:t>Уровень риска (V×I)</w:t>
            </w:r>
          </w:p>
        </w:tc>
        <w:tc>
          <w:tcPr>
            <w:tcW w:w="1728" w:type="dxa"/>
          </w:tcPr>
          <w:p w:rsidR="00BB644A" w:rsidRDefault="005B57A8">
            <w:r>
              <w:t>Уровень</w:t>
            </w:r>
          </w:p>
        </w:tc>
      </w:tr>
      <w:tr w:rsidR="00BB644A">
        <w:tc>
          <w:tcPr>
            <w:tcW w:w="1728" w:type="dxa"/>
          </w:tcPr>
          <w:p w:rsidR="00BB644A" w:rsidRDefault="005B57A8">
            <w:r>
              <w:t>БП1. Найм персонала</w:t>
            </w:r>
          </w:p>
        </w:tc>
        <w:tc>
          <w:tcPr>
            <w:tcW w:w="1728" w:type="dxa"/>
          </w:tcPr>
          <w:p w:rsidR="00BB644A" w:rsidRDefault="005B57A8">
            <w:r>
              <w:t>3</w:t>
            </w:r>
          </w:p>
        </w:tc>
        <w:tc>
          <w:tcPr>
            <w:tcW w:w="1728" w:type="dxa"/>
          </w:tcPr>
          <w:p w:rsidR="00BB644A" w:rsidRDefault="005B57A8">
            <w:r>
              <w:t>2</w:t>
            </w:r>
          </w:p>
        </w:tc>
        <w:tc>
          <w:tcPr>
            <w:tcW w:w="1728" w:type="dxa"/>
          </w:tcPr>
          <w:p w:rsidR="00BB644A" w:rsidRDefault="005B57A8">
            <w:r>
              <w:t>6</w:t>
            </w:r>
          </w:p>
        </w:tc>
        <w:tc>
          <w:tcPr>
            <w:tcW w:w="1728" w:type="dxa"/>
          </w:tcPr>
          <w:p w:rsidR="00BB644A" w:rsidRDefault="005B57A8">
            <w:r>
              <w:t>Средний</w:t>
            </w:r>
          </w:p>
        </w:tc>
      </w:tr>
      <w:tr w:rsidR="00BB644A">
        <w:tc>
          <w:tcPr>
            <w:tcW w:w="1728" w:type="dxa"/>
          </w:tcPr>
          <w:p w:rsidR="00BB644A" w:rsidRDefault="005B57A8">
            <w:r>
              <w:t>БП2. Конфликт интересов</w:t>
            </w:r>
          </w:p>
        </w:tc>
        <w:tc>
          <w:tcPr>
            <w:tcW w:w="1728" w:type="dxa"/>
          </w:tcPr>
          <w:p w:rsidR="00BB644A" w:rsidRDefault="005B57A8">
            <w:r>
              <w:t>2</w:t>
            </w:r>
          </w:p>
        </w:tc>
        <w:tc>
          <w:tcPr>
            <w:tcW w:w="1728" w:type="dxa"/>
          </w:tcPr>
          <w:p w:rsidR="00BB644A" w:rsidRDefault="005B57A8">
            <w:r>
              <w:t>2</w:t>
            </w:r>
          </w:p>
        </w:tc>
        <w:tc>
          <w:tcPr>
            <w:tcW w:w="1728" w:type="dxa"/>
          </w:tcPr>
          <w:p w:rsidR="00BB644A" w:rsidRDefault="005B57A8">
            <w:r>
              <w:t>4</w:t>
            </w:r>
          </w:p>
        </w:tc>
        <w:tc>
          <w:tcPr>
            <w:tcW w:w="1728" w:type="dxa"/>
          </w:tcPr>
          <w:p w:rsidR="00BB644A" w:rsidRDefault="005B57A8">
            <w:r>
              <w:t>Низкий</w:t>
            </w:r>
          </w:p>
        </w:tc>
      </w:tr>
      <w:tr w:rsidR="00BB644A">
        <w:tc>
          <w:tcPr>
            <w:tcW w:w="1728" w:type="dxa"/>
          </w:tcPr>
          <w:p w:rsidR="00BB644A" w:rsidRDefault="005B57A8">
            <w:r>
              <w:t>БП3. Бюджетные средства</w:t>
            </w:r>
          </w:p>
        </w:tc>
        <w:tc>
          <w:tcPr>
            <w:tcW w:w="1728" w:type="dxa"/>
          </w:tcPr>
          <w:p w:rsidR="00BB644A" w:rsidRDefault="005B57A8">
            <w:r>
              <w:t>2</w:t>
            </w:r>
          </w:p>
        </w:tc>
        <w:tc>
          <w:tcPr>
            <w:tcW w:w="1728" w:type="dxa"/>
          </w:tcPr>
          <w:p w:rsidR="00BB644A" w:rsidRDefault="005B57A8">
            <w:r>
              <w:t>2</w:t>
            </w:r>
          </w:p>
        </w:tc>
        <w:tc>
          <w:tcPr>
            <w:tcW w:w="1728" w:type="dxa"/>
          </w:tcPr>
          <w:p w:rsidR="00BB644A" w:rsidRDefault="005B57A8">
            <w:r>
              <w:t>4</w:t>
            </w:r>
          </w:p>
        </w:tc>
        <w:tc>
          <w:tcPr>
            <w:tcW w:w="1728" w:type="dxa"/>
          </w:tcPr>
          <w:p w:rsidR="00BB644A" w:rsidRDefault="005B57A8">
            <w:r>
              <w:t>Низкий</w:t>
            </w:r>
          </w:p>
        </w:tc>
      </w:tr>
      <w:tr w:rsidR="00BB644A">
        <w:tc>
          <w:tcPr>
            <w:tcW w:w="1728" w:type="dxa"/>
          </w:tcPr>
          <w:p w:rsidR="00BB644A" w:rsidRDefault="005B57A8">
            <w:r>
              <w:t>БП4. Государственные закупки</w:t>
            </w:r>
          </w:p>
        </w:tc>
        <w:tc>
          <w:tcPr>
            <w:tcW w:w="1728" w:type="dxa"/>
          </w:tcPr>
          <w:p w:rsidR="00BB644A" w:rsidRDefault="005B57A8">
            <w:r>
              <w:t>2</w:t>
            </w:r>
          </w:p>
        </w:tc>
        <w:tc>
          <w:tcPr>
            <w:tcW w:w="1728" w:type="dxa"/>
          </w:tcPr>
          <w:p w:rsidR="00BB644A" w:rsidRDefault="005B57A8">
            <w:r>
              <w:t>2</w:t>
            </w:r>
          </w:p>
        </w:tc>
        <w:tc>
          <w:tcPr>
            <w:tcW w:w="1728" w:type="dxa"/>
          </w:tcPr>
          <w:p w:rsidR="00BB644A" w:rsidRDefault="005B57A8">
            <w:r>
              <w:t>4</w:t>
            </w:r>
          </w:p>
        </w:tc>
        <w:tc>
          <w:tcPr>
            <w:tcW w:w="1728" w:type="dxa"/>
          </w:tcPr>
          <w:p w:rsidR="00BB644A" w:rsidRDefault="005B57A8">
            <w:r>
              <w:t>Низкий</w:t>
            </w:r>
          </w:p>
        </w:tc>
      </w:tr>
      <w:tr w:rsidR="00BB644A">
        <w:tc>
          <w:tcPr>
            <w:tcW w:w="1728" w:type="dxa"/>
          </w:tcPr>
          <w:p w:rsidR="00BB644A" w:rsidRDefault="005B57A8">
            <w:r>
              <w:t>БП5. Правовое обеспечение</w:t>
            </w:r>
          </w:p>
        </w:tc>
        <w:tc>
          <w:tcPr>
            <w:tcW w:w="1728" w:type="dxa"/>
          </w:tcPr>
          <w:p w:rsidR="00BB644A" w:rsidRDefault="005B57A8">
            <w:r>
              <w:t>1</w:t>
            </w:r>
          </w:p>
        </w:tc>
        <w:tc>
          <w:tcPr>
            <w:tcW w:w="1728" w:type="dxa"/>
          </w:tcPr>
          <w:p w:rsidR="00BB644A" w:rsidRDefault="005B57A8">
            <w:r>
              <w:t>1</w:t>
            </w:r>
          </w:p>
        </w:tc>
        <w:tc>
          <w:tcPr>
            <w:tcW w:w="1728" w:type="dxa"/>
          </w:tcPr>
          <w:p w:rsidR="00BB644A" w:rsidRDefault="005B57A8">
            <w:r>
              <w:t>1</w:t>
            </w:r>
          </w:p>
        </w:tc>
        <w:tc>
          <w:tcPr>
            <w:tcW w:w="1728" w:type="dxa"/>
          </w:tcPr>
          <w:p w:rsidR="00BB644A" w:rsidRDefault="005B57A8">
            <w:r>
              <w:t>Низкий</w:t>
            </w:r>
          </w:p>
        </w:tc>
      </w:tr>
      <w:tr w:rsidR="00BB644A">
        <w:tc>
          <w:tcPr>
            <w:tcW w:w="1728" w:type="dxa"/>
          </w:tcPr>
          <w:p w:rsidR="00BB644A" w:rsidRDefault="005B57A8">
            <w:r>
              <w:t xml:space="preserve">БП6. </w:t>
            </w:r>
            <w:r>
              <w:t>Представительство</w:t>
            </w:r>
          </w:p>
        </w:tc>
        <w:tc>
          <w:tcPr>
            <w:tcW w:w="1728" w:type="dxa"/>
          </w:tcPr>
          <w:p w:rsidR="00BB644A" w:rsidRDefault="005B57A8">
            <w:r>
              <w:t>1</w:t>
            </w:r>
          </w:p>
        </w:tc>
        <w:tc>
          <w:tcPr>
            <w:tcW w:w="1728" w:type="dxa"/>
          </w:tcPr>
          <w:p w:rsidR="00BB644A" w:rsidRDefault="005B57A8">
            <w:r>
              <w:t>2</w:t>
            </w:r>
          </w:p>
        </w:tc>
        <w:tc>
          <w:tcPr>
            <w:tcW w:w="1728" w:type="dxa"/>
          </w:tcPr>
          <w:p w:rsidR="00BB644A" w:rsidRDefault="005B57A8">
            <w:r>
              <w:t>2</w:t>
            </w:r>
          </w:p>
        </w:tc>
        <w:tc>
          <w:tcPr>
            <w:tcW w:w="1728" w:type="dxa"/>
          </w:tcPr>
          <w:p w:rsidR="00BB644A" w:rsidRDefault="005B57A8">
            <w:r>
              <w:t>Низкий</w:t>
            </w:r>
          </w:p>
        </w:tc>
      </w:tr>
      <w:tr w:rsidR="00BB644A">
        <w:tc>
          <w:tcPr>
            <w:tcW w:w="1728" w:type="dxa"/>
          </w:tcPr>
          <w:p w:rsidR="00BB644A" w:rsidRDefault="005B57A8">
            <w:r>
              <w:t>БП7. Собственное производство</w:t>
            </w:r>
          </w:p>
        </w:tc>
        <w:tc>
          <w:tcPr>
            <w:tcW w:w="1728" w:type="dxa"/>
          </w:tcPr>
          <w:p w:rsidR="00BB644A" w:rsidRDefault="005B57A8">
            <w:r>
              <w:t>2</w:t>
            </w:r>
          </w:p>
        </w:tc>
        <w:tc>
          <w:tcPr>
            <w:tcW w:w="1728" w:type="dxa"/>
          </w:tcPr>
          <w:p w:rsidR="00BB644A" w:rsidRDefault="005B57A8">
            <w:r>
              <w:t>3</w:t>
            </w:r>
          </w:p>
        </w:tc>
        <w:tc>
          <w:tcPr>
            <w:tcW w:w="1728" w:type="dxa"/>
          </w:tcPr>
          <w:p w:rsidR="00BB644A" w:rsidRDefault="005B57A8">
            <w:r>
              <w:t>6</w:t>
            </w:r>
          </w:p>
        </w:tc>
        <w:tc>
          <w:tcPr>
            <w:tcW w:w="1728" w:type="dxa"/>
          </w:tcPr>
          <w:p w:rsidR="00BB644A" w:rsidRDefault="005B57A8">
            <w:r>
              <w:t>Средний</w:t>
            </w:r>
          </w:p>
        </w:tc>
      </w:tr>
    </w:tbl>
    <w:p w:rsidR="00BB644A" w:rsidRDefault="00BB644A"/>
    <w:p w:rsidR="00BB644A" w:rsidRDefault="005B57A8">
      <w:pPr>
        <w:pStyle w:val="1"/>
      </w:pPr>
      <w:r>
        <w:t>Картограмма (матрица 5×5)</w:t>
      </w:r>
    </w:p>
    <w:p w:rsidR="00BB644A" w:rsidRDefault="005B57A8">
      <w:r>
        <w:t>Матрица коррупционных рисков построена по шкале «вероятность × влияние» с цветовым зонированием (зелёная зона — низкий риск, жёлтая — средний, красная —</w:t>
      </w:r>
      <w:r>
        <w:t xml:space="preserve"> высокий).</w:t>
      </w:r>
    </w:p>
    <w:p w:rsidR="00BB644A" w:rsidRDefault="005B57A8">
      <w:r>
        <w:rPr>
          <w:noProof/>
          <w:lang w:val="ru-RU" w:eastAsia="ru-RU"/>
        </w:rPr>
        <w:lastRenderedPageBreak/>
        <w:drawing>
          <wp:inline distT="0" distB="0" distL="0" distR="0">
            <wp:extent cx="5943600" cy="4754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ограмма_коррупционных_рисков_Салтанат_1п_2025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44A" w:rsidRDefault="005B57A8">
      <w:pPr>
        <w:pStyle w:val="1"/>
      </w:pPr>
      <w:r>
        <w:t>Рекомендации</w:t>
      </w:r>
    </w:p>
    <w:p w:rsidR="00BB644A" w:rsidRDefault="005B57A8">
      <w:r>
        <w:t>По результатам оценки:</w:t>
      </w:r>
      <w:r>
        <w:br/>
        <w:t>— Высоких рисков не выявлено.</w:t>
      </w:r>
      <w:r>
        <w:br/>
        <w:t>— Средние риски (БП1, БП7): требуется усиление внутреннего контроля и регулярный мониторинг.</w:t>
      </w:r>
      <w:r>
        <w:br/>
        <w:t xml:space="preserve">— Низкие риски (БП2, БП3, БП4, БП5, БП6): рекомендуется поддержание текущего уровня </w:t>
      </w:r>
      <w:r>
        <w:t>контроля и периодическая проверка.</w:t>
      </w:r>
    </w:p>
    <w:sectPr w:rsidR="00BB64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B57A8"/>
    <w:rsid w:val="00AA1D8D"/>
    <w:rsid w:val="00B47730"/>
    <w:rsid w:val="00BB644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6B89517-C3DB-4D49-8852-5E3A686C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7D03B9-06F9-43E4-BEBF-05DE4C501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1300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Томирис</cp:lastModifiedBy>
  <cp:revision>2</cp:revision>
  <dcterms:created xsi:type="dcterms:W3CDTF">2025-10-07T08:13:00Z</dcterms:created>
  <dcterms:modified xsi:type="dcterms:W3CDTF">2025-10-07T08:13:00Z</dcterms:modified>
  <cp:category/>
</cp:coreProperties>
</file>